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IATable"/>
        <w:tblW w:w="0" w:type="auto"/>
        <w:tblBorders>
          <w:top w:val="single" w:sz="6" w:space="0" w:color="1F546B" w:themeColor="text2"/>
          <w:left w:val="single" w:sz="6" w:space="0" w:color="1F546B" w:themeColor="text2"/>
          <w:bottom w:val="single" w:sz="6" w:space="0" w:color="1F546B" w:themeColor="text2"/>
          <w:right w:val="single" w:sz="6" w:space="0" w:color="1F546B" w:themeColor="text2"/>
        </w:tblBorders>
        <w:tblLook w:val="04A0" w:firstRow="1" w:lastRow="0" w:firstColumn="1" w:lastColumn="0" w:noHBand="0" w:noVBand="1"/>
      </w:tblPr>
      <w:tblGrid>
        <w:gridCol w:w="567"/>
        <w:gridCol w:w="1985"/>
        <w:gridCol w:w="2131"/>
        <w:gridCol w:w="570"/>
        <w:gridCol w:w="1640"/>
        <w:gridCol w:w="2286"/>
      </w:tblGrid>
      <w:tr w:rsidR="00842827" w:rsidRPr="00842827" w14:paraId="5240A422" w14:textId="77777777" w:rsidTr="007A0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52" w:type="dxa"/>
            <w:gridSpan w:val="2"/>
            <w:tcBorders>
              <w:top w:val="single" w:sz="12" w:space="0" w:color="1F546B" w:themeColor="text2"/>
              <w:bottom w:val="single" w:sz="6" w:space="0" w:color="FFFFFF" w:themeColor="background1"/>
            </w:tcBorders>
          </w:tcPr>
          <w:p w14:paraId="5240A420" w14:textId="77777777" w:rsidR="008357E2" w:rsidRPr="008357E2" w:rsidRDefault="008357E2" w:rsidP="00603635">
            <w:r w:rsidRPr="008357E2">
              <w:t>Investment Name:</w:t>
            </w:r>
          </w:p>
        </w:tc>
        <w:tc>
          <w:tcPr>
            <w:tcW w:w="6627" w:type="dxa"/>
            <w:gridSpan w:val="4"/>
            <w:tcBorders>
              <w:top w:val="single" w:sz="12" w:space="0" w:color="1F546B" w:themeColor="text2"/>
            </w:tcBorders>
            <w:shd w:val="clear" w:color="auto" w:fill="auto"/>
          </w:tcPr>
          <w:p w14:paraId="5240A421" w14:textId="61AB04AC" w:rsidR="008357E2" w:rsidRPr="00842827" w:rsidRDefault="008357E2" w:rsidP="00603635">
            <w:pPr>
              <w:rPr>
                <w:b w:val="0"/>
                <w:color w:val="auto"/>
              </w:rPr>
            </w:pPr>
          </w:p>
        </w:tc>
      </w:tr>
      <w:tr w:rsidR="008357E2" w14:paraId="5240A427" w14:textId="77777777" w:rsidTr="007A0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52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5240A423" w14:textId="77777777" w:rsidR="008357E2" w:rsidRPr="00456859" w:rsidRDefault="007A06B4" w:rsidP="008357E2">
            <w:r>
              <w:t>Report</w:t>
            </w:r>
            <w:r w:rsidR="00CB45D2">
              <w:t xml:space="preserve"> </w:t>
            </w:r>
            <w:r w:rsidR="008357E2" w:rsidRPr="00456859">
              <w:t>Version Number:</w:t>
            </w:r>
          </w:p>
        </w:tc>
        <w:tc>
          <w:tcPr>
            <w:tcW w:w="2131" w:type="dxa"/>
            <w:shd w:val="clear" w:color="auto" w:fill="auto"/>
          </w:tcPr>
          <w:p w14:paraId="5240A424" w14:textId="15590F3B" w:rsidR="008357E2" w:rsidRPr="00842827" w:rsidRDefault="008357E2" w:rsidP="00603635">
            <w:pPr>
              <w:rPr>
                <w:b w:val="0"/>
                <w:color w:val="auto"/>
              </w:rPr>
            </w:pPr>
          </w:p>
        </w:tc>
        <w:tc>
          <w:tcPr>
            <w:tcW w:w="2210" w:type="dxa"/>
            <w:gridSpan w:val="2"/>
            <w:tcBorders>
              <w:bottom w:val="single" w:sz="6" w:space="0" w:color="FFFFFF" w:themeColor="background1"/>
            </w:tcBorders>
          </w:tcPr>
          <w:p w14:paraId="5240A425" w14:textId="77777777" w:rsidR="008357E2" w:rsidRPr="00456859" w:rsidRDefault="007A06B4" w:rsidP="008357E2">
            <w:r>
              <w:t>Report</w:t>
            </w:r>
            <w:r w:rsidR="008357E2" w:rsidRPr="00456859">
              <w:t xml:space="preserve"> Date:</w:t>
            </w:r>
          </w:p>
        </w:tc>
        <w:tc>
          <w:tcPr>
            <w:tcW w:w="2286" w:type="dxa"/>
            <w:shd w:val="clear" w:color="auto" w:fill="auto"/>
          </w:tcPr>
          <w:p w14:paraId="5240A426" w14:textId="3FD42629" w:rsidR="008357E2" w:rsidRPr="00842827" w:rsidRDefault="008357E2" w:rsidP="00603635">
            <w:pPr>
              <w:rPr>
                <w:b w:val="0"/>
                <w:color w:val="auto"/>
              </w:rPr>
            </w:pPr>
          </w:p>
        </w:tc>
      </w:tr>
      <w:tr w:rsidR="008357E2" w14:paraId="5240A42C" w14:textId="77777777" w:rsidTr="007A0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52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5240A428" w14:textId="77777777" w:rsidR="008357E2" w:rsidRPr="00456859" w:rsidRDefault="008357E2" w:rsidP="00603635">
            <w:r w:rsidRPr="00456859">
              <w:t>Reviewer Name:</w:t>
            </w:r>
          </w:p>
        </w:tc>
        <w:tc>
          <w:tcPr>
            <w:tcW w:w="2131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5240A429" w14:textId="77777777" w:rsidR="008357E2" w:rsidRPr="00842827" w:rsidRDefault="008357E2" w:rsidP="00603635">
            <w:pPr>
              <w:rPr>
                <w:b w:val="0"/>
                <w:color w:val="auto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5240A42A" w14:textId="77777777" w:rsidR="008357E2" w:rsidRPr="00456859" w:rsidRDefault="008357E2" w:rsidP="00603635">
            <w:r w:rsidRPr="00456859">
              <w:t>Review Date</w:t>
            </w:r>
            <w:r w:rsidR="005C0C0E" w:rsidRPr="00456859">
              <w:t>:</w:t>
            </w:r>
          </w:p>
        </w:tc>
        <w:tc>
          <w:tcPr>
            <w:tcW w:w="2286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5240A42B" w14:textId="77777777" w:rsidR="008357E2" w:rsidRPr="00842827" w:rsidRDefault="008357E2" w:rsidP="00603635">
            <w:pPr>
              <w:rPr>
                <w:b w:val="0"/>
                <w:color w:val="auto"/>
              </w:rPr>
            </w:pPr>
          </w:p>
        </w:tc>
      </w:tr>
      <w:tr w:rsidR="008357E2" w14:paraId="5240A431" w14:textId="77777777" w:rsidTr="00456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5240A42D" w14:textId="77777777" w:rsidR="008357E2" w:rsidRPr="00456859" w:rsidRDefault="008357E2" w:rsidP="008357E2">
            <w:r w:rsidRPr="00456859">
              <w:t>#</w:t>
            </w:r>
          </w:p>
        </w:tc>
        <w:tc>
          <w:tcPr>
            <w:tcW w:w="411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5240A42E" w14:textId="77777777" w:rsidR="008357E2" w:rsidRPr="00456859" w:rsidRDefault="008357E2" w:rsidP="00603635">
            <w:r w:rsidRPr="00456859">
              <w:t>Question</w:t>
            </w:r>
          </w:p>
        </w:tc>
        <w:tc>
          <w:tcPr>
            <w:tcW w:w="5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5240A42F" w14:textId="77777777" w:rsidR="008357E2" w:rsidRPr="00456859" w:rsidRDefault="008357E2" w:rsidP="00603635">
            <w:r w:rsidRPr="00456859">
              <w:t>Y/N</w:t>
            </w:r>
          </w:p>
        </w:tc>
        <w:tc>
          <w:tcPr>
            <w:tcW w:w="392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5240A430" w14:textId="77777777" w:rsidR="008357E2" w:rsidRPr="00456859" w:rsidRDefault="008357E2" w:rsidP="00603635">
            <w:r w:rsidRPr="00456859">
              <w:t>Feedback</w:t>
            </w:r>
          </w:p>
        </w:tc>
      </w:tr>
      <w:tr w:rsidR="008357E2" w14:paraId="5240A43A" w14:textId="77777777" w:rsidTr="008357E2">
        <w:tc>
          <w:tcPr>
            <w:tcW w:w="567" w:type="dxa"/>
            <w:tcBorders>
              <w:top w:val="single" w:sz="6" w:space="0" w:color="FFFFFF" w:themeColor="background1"/>
              <w:left w:val="single" w:sz="12" w:space="0" w:color="1F546B" w:themeColor="text2"/>
            </w:tcBorders>
          </w:tcPr>
          <w:p w14:paraId="5240A432" w14:textId="77777777" w:rsidR="008357E2" w:rsidRDefault="008357E2" w:rsidP="00603635">
            <w:r>
              <w:t>1</w:t>
            </w:r>
          </w:p>
        </w:tc>
        <w:tc>
          <w:tcPr>
            <w:tcW w:w="4116" w:type="dxa"/>
            <w:gridSpan w:val="2"/>
            <w:tcBorders>
              <w:top w:val="single" w:sz="6" w:space="0" w:color="FFFFFF" w:themeColor="background1"/>
            </w:tcBorders>
          </w:tcPr>
          <w:p w14:paraId="5240A433" w14:textId="77777777" w:rsidR="008357E2" w:rsidRDefault="007A06B4" w:rsidP="00EC6F9E">
            <w:r>
              <w:t>Is the executive summary clear and does it present an overall assessment of delivery confidence</w:t>
            </w:r>
            <w:r w:rsidR="00CB45D2">
              <w:t>?</w:t>
            </w:r>
          </w:p>
          <w:p w14:paraId="5240A434" w14:textId="77777777" w:rsidR="00CB45D2" w:rsidRDefault="007A06B4" w:rsidP="00CB45D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Consider whether</w:t>
            </w:r>
            <w:r w:rsidR="00CB45D2">
              <w:rPr>
                <w:i/>
                <w:sz w:val="18"/>
              </w:rPr>
              <w:t>:</w:t>
            </w:r>
          </w:p>
          <w:p w14:paraId="5240A435" w14:textId="77777777" w:rsidR="007A06B4" w:rsidRDefault="006B728B" w:rsidP="007A06B4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The k</w:t>
            </w:r>
            <w:r w:rsidR="007A06B4">
              <w:rPr>
                <w:rFonts w:asciiTheme="minorHAnsi" w:hAnsiTheme="minorHAnsi"/>
                <w:i/>
                <w:sz w:val="18"/>
                <w:szCs w:val="22"/>
              </w:rPr>
              <w:t xml:space="preserve">ey findings </w:t>
            </w:r>
            <w:r w:rsidR="00DA4CC5">
              <w:rPr>
                <w:rFonts w:asciiTheme="minorHAnsi" w:hAnsiTheme="minorHAnsi"/>
                <w:i/>
                <w:sz w:val="18"/>
                <w:szCs w:val="22"/>
              </w:rPr>
              <w:t xml:space="preserve">and recommendations </w:t>
            </w:r>
            <w:r w:rsidR="007A06B4">
              <w:rPr>
                <w:rFonts w:asciiTheme="minorHAnsi" w:hAnsiTheme="minorHAnsi"/>
                <w:i/>
                <w:sz w:val="18"/>
                <w:szCs w:val="22"/>
              </w:rPr>
              <w:t>from the review are adequately reflected</w:t>
            </w:r>
            <w:r w:rsidR="00DA4CC5">
              <w:rPr>
                <w:rFonts w:asciiTheme="minorHAnsi" w:hAnsiTheme="minorHAnsi"/>
                <w:i/>
                <w:sz w:val="18"/>
                <w:szCs w:val="22"/>
              </w:rPr>
              <w:t xml:space="preserve"> in the executive summary.</w:t>
            </w:r>
          </w:p>
          <w:p w14:paraId="5240A436" w14:textId="33EA4977" w:rsidR="001A5BE3" w:rsidRPr="001A5BE3" w:rsidRDefault="002F2131" w:rsidP="001A5BE3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rFonts w:asciiTheme="minorHAnsi" w:hAnsiTheme="minorHAnsi"/>
                <w:i/>
                <w:sz w:val="18"/>
                <w:szCs w:val="22"/>
              </w:rPr>
            </w:pPr>
            <w:r w:rsidRPr="00015089">
              <w:rPr>
                <w:rFonts w:asciiTheme="minorHAnsi" w:hAnsiTheme="minorHAnsi"/>
                <w:i/>
                <w:sz w:val="18"/>
                <w:szCs w:val="22"/>
              </w:rPr>
              <w:t xml:space="preserve">The key findings support </w:t>
            </w:r>
            <w:r w:rsidR="00111152">
              <w:rPr>
                <w:rFonts w:asciiTheme="minorHAnsi" w:hAnsiTheme="minorHAnsi"/>
                <w:i/>
                <w:sz w:val="18"/>
                <w:szCs w:val="22"/>
              </w:rPr>
              <w:t>the</w:t>
            </w:r>
            <w:r w:rsidRPr="00015089">
              <w:rPr>
                <w:rFonts w:asciiTheme="minorHAnsi" w:hAnsiTheme="minorHAnsi"/>
                <w:i/>
                <w:sz w:val="18"/>
                <w:szCs w:val="22"/>
              </w:rPr>
              <w:t xml:space="preserve"> overall assessment of delivery confidence.</w:t>
            </w:r>
            <w:r w:rsidR="00DA4CC5" w:rsidRPr="00015089">
              <w:rPr>
                <w:rFonts w:asciiTheme="minorHAnsi" w:hAnsiTheme="minorHAnsi"/>
                <w:i/>
                <w:sz w:val="18"/>
                <w:szCs w:val="22"/>
              </w:rPr>
              <w:t xml:space="preserve"> If you </w:t>
            </w:r>
            <w:r w:rsidR="00DA4CC5">
              <w:rPr>
                <w:rFonts w:asciiTheme="minorHAnsi" w:hAnsiTheme="minorHAnsi"/>
                <w:i/>
                <w:sz w:val="18"/>
                <w:szCs w:val="22"/>
              </w:rPr>
              <w:t>don’t have your own rating system, refer to the GCDO’s Report Rating System for guidance.</w:t>
            </w:r>
          </w:p>
          <w:p w14:paraId="5240A437" w14:textId="2CE00408" w:rsidR="00CB45D2" w:rsidRPr="00742A90" w:rsidRDefault="007A06B4" w:rsidP="007A06B4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i/>
                <w:sz w:val="18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The executive summary is easy to understand by the Senior Responsible Owner (SRO)</w:t>
            </w:r>
            <w:r w:rsidR="00111152">
              <w:rPr>
                <w:rFonts w:asciiTheme="minorHAnsi" w:hAnsiTheme="minorHAnsi"/>
                <w:i/>
                <w:sz w:val="18"/>
                <w:szCs w:val="22"/>
              </w:rPr>
              <w:t>, the governance body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and relevant external stakeholders, including Ministers.</w:t>
            </w:r>
          </w:p>
        </w:tc>
        <w:tc>
          <w:tcPr>
            <w:tcW w:w="570" w:type="dxa"/>
            <w:tcBorders>
              <w:top w:val="single" w:sz="6" w:space="0" w:color="FFFFFF" w:themeColor="background1"/>
            </w:tcBorders>
          </w:tcPr>
          <w:p w14:paraId="5240A438" w14:textId="23A3A1CD" w:rsidR="008357E2" w:rsidRDefault="008357E2" w:rsidP="00603635"/>
        </w:tc>
        <w:tc>
          <w:tcPr>
            <w:tcW w:w="3926" w:type="dxa"/>
            <w:gridSpan w:val="2"/>
            <w:tcBorders>
              <w:top w:val="single" w:sz="6" w:space="0" w:color="FFFFFF" w:themeColor="background1"/>
              <w:right w:val="single" w:sz="12" w:space="0" w:color="1F546B" w:themeColor="text2"/>
            </w:tcBorders>
          </w:tcPr>
          <w:p w14:paraId="5240A439" w14:textId="5C854165" w:rsidR="008357E2" w:rsidRDefault="008357E2" w:rsidP="00603635"/>
        </w:tc>
      </w:tr>
      <w:tr w:rsidR="008357E2" w14:paraId="5240A442" w14:textId="77777777" w:rsidTr="008357E2">
        <w:tc>
          <w:tcPr>
            <w:tcW w:w="567" w:type="dxa"/>
            <w:tcBorders>
              <w:left w:val="single" w:sz="12" w:space="0" w:color="1F546B" w:themeColor="text2"/>
            </w:tcBorders>
          </w:tcPr>
          <w:p w14:paraId="5240A43B" w14:textId="77777777" w:rsidR="008357E2" w:rsidRDefault="008357E2" w:rsidP="00603635">
            <w:r>
              <w:t>2</w:t>
            </w:r>
          </w:p>
        </w:tc>
        <w:tc>
          <w:tcPr>
            <w:tcW w:w="4116" w:type="dxa"/>
            <w:gridSpan w:val="2"/>
          </w:tcPr>
          <w:p w14:paraId="5240A43C" w14:textId="77777777" w:rsidR="007A06B4" w:rsidRPr="007A06B4" w:rsidRDefault="007A06B4" w:rsidP="007A06B4">
            <w:r w:rsidRPr="007A06B4">
              <w:t xml:space="preserve">Does the </w:t>
            </w:r>
            <w:r>
              <w:t>assurance report</w:t>
            </w:r>
            <w:r w:rsidRPr="007A06B4">
              <w:t xml:space="preserve"> align to the original </w:t>
            </w:r>
            <w:r>
              <w:t>terms of reference</w:t>
            </w:r>
            <w:r w:rsidRPr="007A06B4">
              <w:t>?</w:t>
            </w:r>
          </w:p>
          <w:p w14:paraId="5240A43D" w14:textId="77777777" w:rsidR="007A06B4" w:rsidRPr="007A06B4" w:rsidRDefault="007A06B4" w:rsidP="007A06B4">
            <w:pPr>
              <w:rPr>
                <w:i/>
                <w:sz w:val="18"/>
              </w:rPr>
            </w:pPr>
            <w:r w:rsidRPr="007A06B4">
              <w:rPr>
                <w:i/>
                <w:sz w:val="18"/>
              </w:rPr>
              <w:t>Consider whether:</w:t>
            </w:r>
          </w:p>
          <w:p w14:paraId="5240A43E" w14:textId="77777777" w:rsidR="007A06B4" w:rsidRDefault="007A06B4" w:rsidP="007A06B4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All scope items are covered</w:t>
            </w:r>
            <w:r w:rsidR="00DA4CC5">
              <w:rPr>
                <w:rFonts w:asciiTheme="minorHAnsi" w:hAnsiTheme="minorHAnsi"/>
                <w:i/>
                <w:sz w:val="18"/>
                <w:szCs w:val="22"/>
              </w:rPr>
              <w:t>.</w:t>
            </w:r>
          </w:p>
          <w:p w14:paraId="5240A43F" w14:textId="77777777" w:rsidR="005C0C0E" w:rsidRPr="007A06B4" w:rsidRDefault="007A06B4" w:rsidP="007A06B4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rFonts w:asciiTheme="minorHAnsi" w:hAnsiTheme="minorHAnsi"/>
                <w:i/>
                <w:sz w:val="18"/>
                <w:szCs w:val="22"/>
              </w:rPr>
            </w:pPr>
            <w:r w:rsidRPr="007A06B4">
              <w:rPr>
                <w:rFonts w:asciiTheme="minorHAnsi" w:hAnsiTheme="minorHAnsi"/>
                <w:i/>
                <w:sz w:val="18"/>
                <w:szCs w:val="22"/>
              </w:rPr>
              <w:t>There is appropriate depth of coverage based on the original scope.</w:t>
            </w:r>
          </w:p>
        </w:tc>
        <w:tc>
          <w:tcPr>
            <w:tcW w:w="570" w:type="dxa"/>
          </w:tcPr>
          <w:p w14:paraId="5240A440" w14:textId="77777777" w:rsidR="008357E2" w:rsidRDefault="008357E2" w:rsidP="00603635"/>
        </w:tc>
        <w:tc>
          <w:tcPr>
            <w:tcW w:w="3926" w:type="dxa"/>
            <w:gridSpan w:val="2"/>
            <w:tcBorders>
              <w:right w:val="single" w:sz="12" w:space="0" w:color="1F546B" w:themeColor="text2"/>
            </w:tcBorders>
          </w:tcPr>
          <w:p w14:paraId="5240A441" w14:textId="77777777" w:rsidR="008357E2" w:rsidRDefault="008357E2" w:rsidP="00603635"/>
        </w:tc>
      </w:tr>
      <w:tr w:rsidR="008357E2" w14:paraId="5240A44D" w14:textId="77777777" w:rsidTr="008357E2">
        <w:tc>
          <w:tcPr>
            <w:tcW w:w="567" w:type="dxa"/>
            <w:tcBorders>
              <w:left w:val="single" w:sz="12" w:space="0" w:color="1F546B" w:themeColor="text2"/>
            </w:tcBorders>
          </w:tcPr>
          <w:p w14:paraId="5240A443" w14:textId="77777777" w:rsidR="008357E2" w:rsidRDefault="00741290" w:rsidP="00741290">
            <w:r>
              <w:t>3</w:t>
            </w:r>
          </w:p>
        </w:tc>
        <w:tc>
          <w:tcPr>
            <w:tcW w:w="4116" w:type="dxa"/>
            <w:gridSpan w:val="2"/>
          </w:tcPr>
          <w:p w14:paraId="5240A444" w14:textId="77777777" w:rsidR="007A06B4" w:rsidRPr="007A06B4" w:rsidRDefault="007A06B4" w:rsidP="007A06B4">
            <w:r w:rsidRPr="007A06B4">
              <w:t xml:space="preserve">Are the detailed findings relevant and supported by sufficient evidence?  </w:t>
            </w:r>
          </w:p>
          <w:p w14:paraId="5240A445" w14:textId="77777777" w:rsidR="007A06B4" w:rsidRPr="007A06B4" w:rsidRDefault="007A06B4" w:rsidP="007A06B4">
            <w:pPr>
              <w:rPr>
                <w:i/>
                <w:sz w:val="18"/>
              </w:rPr>
            </w:pPr>
            <w:r w:rsidRPr="007A06B4">
              <w:rPr>
                <w:i/>
                <w:sz w:val="18"/>
              </w:rPr>
              <w:t>Consider whether:</w:t>
            </w:r>
          </w:p>
          <w:p w14:paraId="5240A446" w14:textId="77777777" w:rsidR="007A06B4" w:rsidRDefault="007A06B4" w:rsidP="007A06B4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Findings are well reasoned, clearly articulated and unambiguous</w:t>
            </w:r>
            <w:r w:rsidR="00DA4CC5">
              <w:rPr>
                <w:rFonts w:asciiTheme="minorHAnsi" w:hAnsiTheme="minorHAnsi"/>
                <w:i/>
                <w:sz w:val="18"/>
                <w:szCs w:val="22"/>
              </w:rPr>
              <w:t>.</w:t>
            </w:r>
          </w:p>
          <w:p w14:paraId="5240A447" w14:textId="77777777" w:rsidR="007A06B4" w:rsidRDefault="007A06B4" w:rsidP="007A06B4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Findings are supported by sufficient evidence</w:t>
            </w:r>
          </w:p>
          <w:p w14:paraId="5240A448" w14:textId="77777777" w:rsidR="007A06B4" w:rsidRDefault="007A06B4" w:rsidP="007A06B4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A factual accuracy check has been performed, including with key external stakeholders</w:t>
            </w:r>
            <w:r w:rsidR="00DA4CC5">
              <w:rPr>
                <w:rFonts w:asciiTheme="minorHAnsi" w:hAnsiTheme="minorHAnsi"/>
                <w:i/>
                <w:sz w:val="18"/>
                <w:szCs w:val="22"/>
              </w:rPr>
              <w:t>.</w:t>
            </w:r>
          </w:p>
          <w:p w14:paraId="5240A449" w14:textId="77777777" w:rsidR="007A06B4" w:rsidRDefault="007A06B4" w:rsidP="007A06B4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Findings are timely in relation to the current delivery phase</w:t>
            </w:r>
            <w:r w:rsidR="00DA4CC5">
              <w:rPr>
                <w:rFonts w:asciiTheme="minorHAnsi" w:hAnsiTheme="minorHAnsi"/>
                <w:i/>
                <w:sz w:val="18"/>
                <w:szCs w:val="22"/>
              </w:rPr>
              <w:t>.</w:t>
            </w:r>
          </w:p>
          <w:p w14:paraId="5240A44A" w14:textId="77777777" w:rsidR="00742A90" w:rsidRPr="007A06B4" w:rsidRDefault="007A06B4" w:rsidP="007A06B4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rFonts w:asciiTheme="minorHAnsi" w:hAnsiTheme="minorHAnsi"/>
                <w:i/>
                <w:sz w:val="18"/>
                <w:szCs w:val="22"/>
              </w:rPr>
            </w:pPr>
            <w:r w:rsidRPr="007A06B4">
              <w:rPr>
                <w:rFonts w:asciiTheme="minorHAnsi" w:hAnsiTheme="minorHAnsi"/>
                <w:i/>
                <w:sz w:val="18"/>
                <w:szCs w:val="22"/>
              </w:rPr>
              <w:t xml:space="preserve">The impacts of 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the </w:t>
            </w:r>
            <w:r w:rsidRPr="007A06B4">
              <w:rPr>
                <w:rFonts w:asciiTheme="minorHAnsi" w:hAnsiTheme="minorHAnsi"/>
                <w:i/>
                <w:sz w:val="18"/>
                <w:szCs w:val="22"/>
              </w:rPr>
              <w:t xml:space="preserve">findings on 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successful </w:t>
            </w:r>
            <w:r w:rsidRPr="007A06B4">
              <w:rPr>
                <w:rFonts w:asciiTheme="minorHAnsi" w:hAnsiTheme="minorHAnsi"/>
                <w:i/>
                <w:sz w:val="18"/>
                <w:szCs w:val="22"/>
              </w:rPr>
              <w:t>delivery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of the expected outcomes</w:t>
            </w:r>
            <w:r w:rsidRPr="007A06B4">
              <w:rPr>
                <w:rFonts w:asciiTheme="minorHAnsi" w:hAnsiTheme="minorHAnsi"/>
                <w:i/>
                <w:sz w:val="18"/>
                <w:szCs w:val="22"/>
              </w:rPr>
              <w:t xml:space="preserve"> are clear.</w:t>
            </w:r>
          </w:p>
        </w:tc>
        <w:tc>
          <w:tcPr>
            <w:tcW w:w="570" w:type="dxa"/>
          </w:tcPr>
          <w:p w14:paraId="5240A44B" w14:textId="77777777" w:rsidR="008357E2" w:rsidRDefault="008357E2" w:rsidP="00603635"/>
        </w:tc>
        <w:tc>
          <w:tcPr>
            <w:tcW w:w="3926" w:type="dxa"/>
            <w:gridSpan w:val="2"/>
            <w:tcBorders>
              <w:right w:val="single" w:sz="12" w:space="0" w:color="1F546B" w:themeColor="text2"/>
            </w:tcBorders>
          </w:tcPr>
          <w:p w14:paraId="5240A44C" w14:textId="77777777" w:rsidR="008357E2" w:rsidRDefault="008357E2" w:rsidP="00603635"/>
        </w:tc>
      </w:tr>
      <w:tr w:rsidR="008357E2" w14:paraId="5240A456" w14:textId="77777777" w:rsidTr="00456859">
        <w:tc>
          <w:tcPr>
            <w:tcW w:w="567" w:type="dxa"/>
            <w:tcBorders>
              <w:left w:val="single" w:sz="12" w:space="0" w:color="1F546B" w:themeColor="text2"/>
            </w:tcBorders>
          </w:tcPr>
          <w:p w14:paraId="5240A44E" w14:textId="77777777" w:rsidR="008357E2" w:rsidRDefault="00741290" w:rsidP="00603635">
            <w:r>
              <w:t>4</w:t>
            </w:r>
          </w:p>
        </w:tc>
        <w:tc>
          <w:tcPr>
            <w:tcW w:w="4116" w:type="dxa"/>
            <w:gridSpan w:val="2"/>
          </w:tcPr>
          <w:p w14:paraId="5240A44F" w14:textId="77777777" w:rsidR="007A06B4" w:rsidRPr="00DA4CC5" w:rsidRDefault="007A06B4" w:rsidP="00DA4CC5">
            <w:r w:rsidRPr="00DA4CC5">
              <w:t>Are report recommendations practical and</w:t>
            </w:r>
            <w:r w:rsidR="00DA4CC5">
              <w:t xml:space="preserve"> prioritised</w:t>
            </w:r>
            <w:r w:rsidRPr="00DA4CC5">
              <w:t>?</w:t>
            </w:r>
          </w:p>
          <w:p w14:paraId="5240A450" w14:textId="77777777" w:rsidR="007A06B4" w:rsidRDefault="007A06B4" w:rsidP="007A06B4">
            <w:pPr>
              <w:spacing w:before="20" w:after="20"/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Consider whether:</w:t>
            </w:r>
          </w:p>
          <w:p w14:paraId="5240A451" w14:textId="77777777" w:rsidR="007A06B4" w:rsidRDefault="007A06B4" w:rsidP="007A06B4">
            <w:pPr>
              <w:pStyle w:val="ListParagraph"/>
              <w:numPr>
                <w:ilvl w:val="0"/>
                <w:numId w:val="27"/>
              </w:numPr>
              <w:spacing w:before="20" w:after="20"/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Recommendations are clear and link to findings.</w:t>
            </w:r>
          </w:p>
          <w:p w14:paraId="5240A452" w14:textId="77777777" w:rsidR="007A06B4" w:rsidRDefault="00DA4CC5" w:rsidP="007A06B4">
            <w:pPr>
              <w:pStyle w:val="ListParagraph"/>
              <w:numPr>
                <w:ilvl w:val="0"/>
                <w:numId w:val="27"/>
              </w:numPr>
              <w:spacing w:before="20" w:after="20"/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Recommendations have been prioritised.  If you don’t have your own rating system, refer to the GCDO’s Report Rating System for guidance.</w:t>
            </w:r>
          </w:p>
          <w:p w14:paraId="5240A453" w14:textId="77777777" w:rsidR="00400946" w:rsidRPr="00742A90" w:rsidRDefault="007A06B4" w:rsidP="007A06B4">
            <w:pPr>
              <w:pStyle w:val="ListParagraph"/>
              <w:numPr>
                <w:ilvl w:val="0"/>
                <w:numId w:val="27"/>
              </w:numPr>
              <w:spacing w:before="56" w:after="32"/>
              <w:rPr>
                <w:i/>
                <w:sz w:val="18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Recommendations have been assigned a suggested due date.</w:t>
            </w:r>
          </w:p>
        </w:tc>
        <w:tc>
          <w:tcPr>
            <w:tcW w:w="570" w:type="dxa"/>
          </w:tcPr>
          <w:p w14:paraId="5240A454" w14:textId="77777777" w:rsidR="008357E2" w:rsidRDefault="008357E2" w:rsidP="00603635"/>
        </w:tc>
        <w:tc>
          <w:tcPr>
            <w:tcW w:w="3926" w:type="dxa"/>
            <w:gridSpan w:val="2"/>
            <w:tcBorders>
              <w:right w:val="single" w:sz="12" w:space="0" w:color="1F546B" w:themeColor="text2"/>
            </w:tcBorders>
          </w:tcPr>
          <w:p w14:paraId="5240A455" w14:textId="77777777" w:rsidR="008357E2" w:rsidRDefault="008357E2" w:rsidP="00603635"/>
        </w:tc>
      </w:tr>
      <w:tr w:rsidR="0023522B" w14:paraId="5240A45C" w14:textId="77777777" w:rsidTr="0023522B">
        <w:tc>
          <w:tcPr>
            <w:tcW w:w="567" w:type="dxa"/>
            <w:tcBorders>
              <w:left w:val="single" w:sz="12" w:space="0" w:color="1F546B" w:themeColor="text2"/>
              <w:bottom w:val="single" w:sz="12" w:space="0" w:color="1F546B" w:themeColor="text2"/>
            </w:tcBorders>
          </w:tcPr>
          <w:p w14:paraId="5240A457" w14:textId="77777777" w:rsidR="0023522B" w:rsidRDefault="00DA4CC5" w:rsidP="00603635">
            <w:r>
              <w:lastRenderedPageBreak/>
              <w:t>5</w:t>
            </w:r>
          </w:p>
        </w:tc>
        <w:tc>
          <w:tcPr>
            <w:tcW w:w="4116" w:type="dxa"/>
            <w:gridSpan w:val="2"/>
            <w:tcBorders>
              <w:bottom w:val="single" w:sz="12" w:space="0" w:color="1F546B" w:themeColor="text2"/>
            </w:tcBorders>
          </w:tcPr>
          <w:p w14:paraId="5240A458" w14:textId="77777777" w:rsidR="007A06B4" w:rsidRPr="007F0032" w:rsidRDefault="007F0032" w:rsidP="007F0032">
            <w:r w:rsidRPr="007F0032">
              <w:t>Has the assurance report been approved at the appropriate level within the organisation</w:t>
            </w:r>
            <w:r w:rsidR="007A06B4" w:rsidRPr="007F0032">
              <w:t>?</w:t>
            </w:r>
          </w:p>
          <w:p w14:paraId="5240A459" w14:textId="64459BE8" w:rsidR="007F0032" w:rsidRPr="00F03743" w:rsidRDefault="007F0032" w:rsidP="001910C1">
            <w:pPr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i/>
                <w:sz w:val="18"/>
              </w:rPr>
              <w:t>The assurance report should be endorsed by the governance body</w:t>
            </w:r>
            <w:r w:rsidR="001910C1">
              <w:rPr>
                <w:i/>
                <w:sz w:val="18"/>
              </w:rPr>
              <w:t xml:space="preserve"> and approved by the SRO</w:t>
            </w:r>
            <w:r>
              <w:rPr>
                <w:i/>
                <w:sz w:val="18"/>
              </w:rPr>
              <w:t>.  The Lead Reviewer should also approve the final version of report.  F</w:t>
            </w:r>
            <w:r w:rsidRPr="000073E6">
              <w:rPr>
                <w:i/>
                <w:sz w:val="18"/>
              </w:rPr>
              <w:t xml:space="preserve">or high risk investments, the </w:t>
            </w:r>
            <w:r>
              <w:rPr>
                <w:i/>
                <w:sz w:val="18"/>
              </w:rPr>
              <w:t xml:space="preserve">assurance report </w:t>
            </w:r>
            <w:r w:rsidRPr="000073E6">
              <w:rPr>
                <w:i/>
                <w:sz w:val="18"/>
              </w:rPr>
              <w:t>should be submitted to the GCDO for a quality review.</w:t>
            </w:r>
          </w:p>
        </w:tc>
        <w:tc>
          <w:tcPr>
            <w:tcW w:w="570" w:type="dxa"/>
            <w:tcBorders>
              <w:bottom w:val="single" w:sz="12" w:space="0" w:color="1F546B" w:themeColor="text2"/>
            </w:tcBorders>
          </w:tcPr>
          <w:p w14:paraId="5240A45A" w14:textId="77777777" w:rsidR="0023522B" w:rsidRDefault="0023522B" w:rsidP="00603635"/>
        </w:tc>
        <w:tc>
          <w:tcPr>
            <w:tcW w:w="3926" w:type="dxa"/>
            <w:gridSpan w:val="2"/>
            <w:tcBorders>
              <w:bottom w:val="single" w:sz="12" w:space="0" w:color="1F546B" w:themeColor="text2"/>
              <w:right w:val="single" w:sz="12" w:space="0" w:color="1F546B" w:themeColor="text2"/>
            </w:tcBorders>
          </w:tcPr>
          <w:p w14:paraId="5240A45B" w14:textId="55493746" w:rsidR="0023522B" w:rsidRDefault="0023522B" w:rsidP="00603635">
            <w:bookmarkStart w:id="0" w:name="_GoBack"/>
            <w:bookmarkEnd w:id="0"/>
          </w:p>
        </w:tc>
      </w:tr>
    </w:tbl>
    <w:p w14:paraId="5240A45D" w14:textId="77777777" w:rsidR="00F03743" w:rsidRDefault="00F03743" w:rsidP="00603635"/>
    <w:p w14:paraId="5240A45E" w14:textId="77777777" w:rsidR="00F03743" w:rsidRPr="00F03743" w:rsidRDefault="00F03743" w:rsidP="00F03743"/>
    <w:p w14:paraId="5240A45F" w14:textId="77777777" w:rsidR="00F03743" w:rsidRPr="00F03743" w:rsidRDefault="00F03743" w:rsidP="00F03743"/>
    <w:p w14:paraId="5240A460" w14:textId="77777777" w:rsidR="00F03743" w:rsidRPr="00F03743" w:rsidRDefault="00F03743" w:rsidP="00F03743"/>
    <w:p w14:paraId="5240A461" w14:textId="77777777" w:rsidR="00F03743" w:rsidRPr="00F03743" w:rsidRDefault="00F03743" w:rsidP="00F03743"/>
    <w:p w14:paraId="5240A462" w14:textId="77777777" w:rsidR="00F03743" w:rsidRPr="00F03743" w:rsidRDefault="00F03743" w:rsidP="00F03743"/>
    <w:p w14:paraId="5240A463" w14:textId="77777777" w:rsidR="00F03743" w:rsidRPr="00F03743" w:rsidRDefault="008D5BC5" w:rsidP="008D5BC5">
      <w:pPr>
        <w:tabs>
          <w:tab w:val="left" w:pos="5781"/>
        </w:tabs>
      </w:pPr>
      <w:r>
        <w:tab/>
      </w:r>
    </w:p>
    <w:p w14:paraId="5240A464" w14:textId="77777777" w:rsidR="00F03743" w:rsidRPr="00F03743" w:rsidRDefault="00F03743" w:rsidP="00F03743"/>
    <w:p w14:paraId="5240A465" w14:textId="77777777" w:rsidR="00F03743" w:rsidRPr="00F03743" w:rsidRDefault="00F03743" w:rsidP="00F03743"/>
    <w:p w14:paraId="5240A466" w14:textId="77777777" w:rsidR="00F03743" w:rsidRDefault="00F03743" w:rsidP="00F03743"/>
    <w:p w14:paraId="5240A467" w14:textId="77777777" w:rsidR="00AE478C" w:rsidRPr="00F03743" w:rsidRDefault="00F03743" w:rsidP="00F03743">
      <w:pPr>
        <w:tabs>
          <w:tab w:val="left" w:pos="1617"/>
        </w:tabs>
      </w:pPr>
      <w:r>
        <w:tab/>
      </w:r>
    </w:p>
    <w:sectPr w:rsidR="00AE478C" w:rsidRPr="00F03743" w:rsidSect="00E85DD3">
      <w:headerReference w:type="default" r:id="rId12"/>
      <w:footerReference w:type="default" r:id="rId13"/>
      <w:pgSz w:w="11907" w:h="16840" w:code="9"/>
      <w:pgMar w:top="1418" w:right="1418" w:bottom="992" w:left="1418" w:header="425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0A46D" w14:textId="77777777" w:rsidR="008357E2" w:rsidRDefault="008357E2">
      <w:r>
        <w:separator/>
      </w:r>
    </w:p>
    <w:p w14:paraId="5240A46E" w14:textId="77777777" w:rsidR="008357E2" w:rsidRDefault="008357E2"/>
    <w:p w14:paraId="5240A46F" w14:textId="77777777" w:rsidR="008357E2" w:rsidRDefault="008357E2"/>
  </w:endnote>
  <w:endnote w:type="continuationSeparator" w:id="0">
    <w:p w14:paraId="5240A470" w14:textId="77777777" w:rsidR="008357E2" w:rsidRDefault="008357E2">
      <w:r>
        <w:continuationSeparator/>
      </w:r>
    </w:p>
    <w:p w14:paraId="5240A471" w14:textId="77777777" w:rsidR="008357E2" w:rsidRDefault="008357E2"/>
    <w:p w14:paraId="5240A472" w14:textId="77777777" w:rsidR="008357E2" w:rsidRDefault="00835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A476" w14:textId="77777777" w:rsidR="00E85DD3" w:rsidRPr="004065A0" w:rsidRDefault="00F03743" w:rsidP="00E85DD3">
    <w:pPr>
      <w:pStyle w:val="Footer"/>
      <w:tabs>
        <w:tab w:val="right" w:pos="9071"/>
      </w:tabs>
      <w:rPr>
        <w:iCs/>
        <w:color w:val="808080" w:themeColor="background1" w:themeShade="80"/>
        <w:spacing w:val="60"/>
        <w:sz w:val="16"/>
        <w:szCs w:val="16"/>
      </w:rPr>
    </w:pPr>
    <w:r w:rsidRPr="00280C98">
      <w:rPr>
        <w:iCs/>
        <w:color w:val="808080" w:themeColor="background1" w:themeShade="80"/>
        <w:spacing w:val="60"/>
        <w:sz w:val="16"/>
        <w:szCs w:val="16"/>
      </w:rPr>
      <w:t>Page</w:t>
    </w:r>
    <w:r w:rsidRPr="00280C98">
      <w:rPr>
        <w:iCs/>
        <w:color w:val="2C7178" w:themeColor="accent1" w:themeShade="80"/>
        <w:sz w:val="16"/>
        <w:szCs w:val="16"/>
      </w:rPr>
      <w:t>|</w:t>
    </w:r>
    <w:r w:rsidRPr="00280C98">
      <w:rPr>
        <w:b/>
        <w:bCs/>
        <w:iCs/>
        <w:color w:val="2C7178" w:themeColor="accent1" w:themeShade="80"/>
        <w:sz w:val="16"/>
        <w:szCs w:val="16"/>
      </w:rPr>
      <w:t xml:space="preserve"> </w:t>
    </w:r>
    <w:r w:rsidRPr="00280C98">
      <w:rPr>
        <w:iCs/>
        <w:color w:val="2C7178" w:themeColor="accent1" w:themeShade="80"/>
        <w:sz w:val="16"/>
        <w:szCs w:val="16"/>
      </w:rPr>
      <w:fldChar w:fldCharType="begin"/>
    </w:r>
    <w:r w:rsidRPr="00280C98">
      <w:rPr>
        <w:iCs/>
        <w:color w:val="2C7178" w:themeColor="accent1" w:themeShade="80"/>
        <w:sz w:val="16"/>
        <w:szCs w:val="16"/>
      </w:rPr>
      <w:instrText xml:space="preserve"> PAGE   \* MERGEFORMAT </w:instrText>
    </w:r>
    <w:r w:rsidRPr="00280C98">
      <w:rPr>
        <w:iCs/>
        <w:color w:val="2C7178" w:themeColor="accent1" w:themeShade="80"/>
        <w:sz w:val="16"/>
        <w:szCs w:val="16"/>
      </w:rPr>
      <w:fldChar w:fldCharType="separate"/>
    </w:r>
    <w:r w:rsidR="00842827" w:rsidRPr="00842827">
      <w:rPr>
        <w:b/>
        <w:bCs/>
        <w:iCs/>
        <w:noProof/>
        <w:color w:val="2C7178" w:themeColor="accent1" w:themeShade="80"/>
        <w:sz w:val="16"/>
        <w:szCs w:val="16"/>
      </w:rPr>
      <w:t>2</w:t>
    </w:r>
    <w:r w:rsidRPr="00280C98">
      <w:rPr>
        <w:b/>
        <w:bCs/>
        <w:iCs/>
        <w:noProof/>
        <w:color w:val="2C7178" w:themeColor="accent1" w:themeShade="80"/>
        <w:sz w:val="16"/>
        <w:szCs w:val="16"/>
      </w:rPr>
      <w:fldChar w:fldCharType="end"/>
    </w:r>
  </w:p>
  <w:p w14:paraId="5240A477" w14:textId="77777777" w:rsidR="00E85DD3" w:rsidRDefault="00E85DD3" w:rsidP="00E85DD3">
    <w:pPr>
      <w:pStyle w:val="Footer"/>
      <w:tabs>
        <w:tab w:val="right" w:pos="9071"/>
      </w:tabs>
      <w:jc w:val="right"/>
      <w:rPr>
        <w:iCs/>
        <w:color w:val="2C7178" w:themeColor="accent1" w:themeShade="80"/>
        <w:sz w:val="16"/>
        <w:szCs w:val="16"/>
      </w:rPr>
    </w:pPr>
  </w:p>
  <w:p w14:paraId="5240A478" w14:textId="77777777" w:rsidR="00E85DD3" w:rsidRPr="00125857" w:rsidRDefault="00E85DD3" w:rsidP="00E85DD3">
    <w:pPr>
      <w:pStyle w:val="Footer"/>
      <w:jc w:val="right"/>
      <w:rPr>
        <w:color w:val="2C7178" w:themeColor="accent1" w:themeShade="80"/>
        <w:sz w:val="12"/>
        <w:szCs w:val="12"/>
      </w:rPr>
    </w:pPr>
    <w:r w:rsidRPr="00125857">
      <w:rPr>
        <w:noProof/>
        <w:color w:val="2C7178" w:themeColor="accent1" w:themeShade="80"/>
        <w:sz w:val="12"/>
        <w:szCs w:val="12"/>
        <w:lang w:eastAsia="en-NZ"/>
      </w:rPr>
      <w:drawing>
        <wp:anchor distT="0" distB="0" distL="114300" distR="114300" simplePos="0" relativeHeight="251659264" behindDoc="1" locked="0" layoutInCell="1" allowOverlap="1" wp14:anchorId="5240A47D" wp14:editId="5240A47E">
          <wp:simplePos x="0" y="0"/>
          <wp:positionH relativeFrom="column">
            <wp:posOffset>3586480</wp:posOffset>
          </wp:positionH>
          <wp:positionV relativeFrom="paragraph">
            <wp:posOffset>-305435</wp:posOffset>
          </wp:positionV>
          <wp:extent cx="2164080" cy="399415"/>
          <wp:effectExtent l="0" t="0" r="7620" b="635"/>
          <wp:wrapTight wrapText="bothSides">
            <wp:wrapPolygon edited="0">
              <wp:start x="0" y="0"/>
              <wp:lineTo x="0" y="20604"/>
              <wp:lineTo x="21486" y="20604"/>
              <wp:lineTo x="21486" y="0"/>
              <wp:lineTo x="0" y="0"/>
            </wp:wrapPolygon>
          </wp:wrapTight>
          <wp:docPr id="4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0A479" w14:textId="77777777" w:rsidR="00E85DD3" w:rsidRDefault="00E85DD3" w:rsidP="00E85DD3">
    <w:pPr>
      <w:pStyle w:val="Footer"/>
      <w:jc w:val="right"/>
      <w:rPr>
        <w:color w:val="1F546B" w:themeColor="text2"/>
        <w:sz w:val="16"/>
        <w:szCs w:val="16"/>
      </w:rPr>
    </w:pPr>
    <w:r w:rsidRPr="00D759A1">
      <w:rPr>
        <w:color w:val="1F546B" w:themeColor="text2"/>
        <w:sz w:val="16"/>
        <w:szCs w:val="16"/>
      </w:rPr>
      <w:t>Better information, better conversations, better decisions</w:t>
    </w:r>
  </w:p>
  <w:p w14:paraId="5240A47A" w14:textId="77777777" w:rsidR="008504D0" w:rsidRDefault="008504D0" w:rsidP="00126FDE">
    <w:pPr>
      <w:pStyle w:val="Footer"/>
      <w:tabs>
        <w:tab w:val="right" w:pos="9071"/>
      </w:tabs>
      <w:ind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0A468" w14:textId="77777777" w:rsidR="008357E2" w:rsidRDefault="008357E2" w:rsidP="00FB1990">
      <w:pPr>
        <w:pStyle w:val="Spacer"/>
      </w:pPr>
      <w:r>
        <w:separator/>
      </w:r>
    </w:p>
    <w:p w14:paraId="5240A469" w14:textId="77777777" w:rsidR="008357E2" w:rsidRDefault="008357E2" w:rsidP="00FB1990">
      <w:pPr>
        <w:pStyle w:val="Spacer"/>
      </w:pPr>
    </w:p>
  </w:footnote>
  <w:footnote w:type="continuationSeparator" w:id="0">
    <w:p w14:paraId="5240A46A" w14:textId="77777777" w:rsidR="008357E2" w:rsidRDefault="008357E2">
      <w:r>
        <w:continuationSeparator/>
      </w:r>
    </w:p>
    <w:p w14:paraId="5240A46B" w14:textId="77777777" w:rsidR="008357E2" w:rsidRDefault="008357E2"/>
    <w:p w14:paraId="5240A46C" w14:textId="77777777" w:rsidR="008357E2" w:rsidRDefault="008357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A473" w14:textId="77777777" w:rsidR="008D5BC5" w:rsidRDefault="008D5BC5" w:rsidP="008D5BC5">
    <w:pPr>
      <w:pStyle w:val="Header"/>
      <w:tabs>
        <w:tab w:val="right" w:pos="9071"/>
      </w:tabs>
      <w:rPr>
        <w:b/>
        <w:sz w:val="18"/>
      </w:rPr>
    </w:pPr>
    <w:r>
      <w:rPr>
        <w:noProof/>
        <w:lang w:eastAsia="en-NZ"/>
      </w:rPr>
      <w:drawing>
        <wp:anchor distT="0" distB="0" distL="114300" distR="114300" simplePos="0" relativeHeight="251661312" behindDoc="1" locked="0" layoutInCell="1" allowOverlap="1" wp14:anchorId="5240A47B" wp14:editId="5240A47C">
          <wp:simplePos x="0" y="0"/>
          <wp:positionH relativeFrom="column">
            <wp:posOffset>4445</wp:posOffset>
          </wp:positionH>
          <wp:positionV relativeFrom="paragraph">
            <wp:posOffset>25400</wp:posOffset>
          </wp:positionV>
          <wp:extent cx="1698625" cy="205105"/>
          <wp:effectExtent l="0" t="0" r="0" b="4445"/>
          <wp:wrapTight wrapText="bothSides">
            <wp:wrapPolygon edited="0">
              <wp:start x="0" y="0"/>
              <wp:lineTo x="0" y="20062"/>
              <wp:lineTo x="11143" y="20062"/>
              <wp:lineTo x="21317" y="16050"/>
              <wp:lineTo x="21317" y="0"/>
              <wp:lineTo x="0" y="0"/>
            </wp:wrapPolygon>
          </wp:wrapTight>
          <wp:docPr id="13" name="Picture 12" descr="http://www.ssc.govt.nz/sites/all/files/All-of-govt_NZ_G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12" descr="http://www.ssc.govt.nz/sites/all/files/All-of-govt_NZ_G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62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  </w:t>
    </w:r>
    <w:r w:rsidRPr="00F63ACE">
      <w:rPr>
        <w:b/>
        <w:sz w:val="18"/>
      </w:rPr>
      <w:t xml:space="preserve">Government Chief Digital Officer </w:t>
    </w:r>
  </w:p>
  <w:p w14:paraId="5240A474" w14:textId="77777777" w:rsidR="008D5BC5" w:rsidRDefault="008D5BC5" w:rsidP="008D5BC5">
    <w:pPr>
      <w:pStyle w:val="Header"/>
      <w:jc w:val="right"/>
    </w:pPr>
    <w:r w:rsidRPr="00F63ACE">
      <w:rPr>
        <w:b/>
        <w:sz w:val="18"/>
      </w:rPr>
      <w:t>System Assurance Team</w:t>
    </w:r>
  </w:p>
  <w:p w14:paraId="5240A475" w14:textId="77777777" w:rsidR="008357E2" w:rsidRPr="00591BDC" w:rsidRDefault="008357E2" w:rsidP="008357E2">
    <w:pPr>
      <w:pStyle w:val="Heading2"/>
    </w:pPr>
    <w:r>
      <w:t xml:space="preserve">PPP </w:t>
    </w:r>
    <w:r w:rsidR="007A06B4">
      <w:t>Assurance Report</w:t>
    </w:r>
    <w:r>
      <w:t xml:space="preserve"> Quality Review</w:t>
    </w:r>
    <w:r w:rsidR="00FB3149">
      <w:t xml:space="preserve">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C7BA4"/>
    <w:multiLevelType w:val="hybridMultilevel"/>
    <w:tmpl w:val="0D3CF7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637DE5"/>
    <w:multiLevelType w:val="hybridMultilevel"/>
    <w:tmpl w:val="30C2D9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BB165C"/>
    <w:multiLevelType w:val="hybridMultilevel"/>
    <w:tmpl w:val="7D72FE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03F88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E45588D"/>
    <w:multiLevelType w:val="hybridMultilevel"/>
    <w:tmpl w:val="BCFA3F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3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5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6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8">
    <w:nsid w:val="7FDA19E7"/>
    <w:multiLevelType w:val="hybridMultilevel"/>
    <w:tmpl w:val="CD5A78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21"/>
  </w:num>
  <w:num w:numId="9">
    <w:abstractNumId w:val="16"/>
  </w:num>
  <w:num w:numId="10">
    <w:abstractNumId w:val="10"/>
  </w:num>
  <w:num w:numId="11">
    <w:abstractNumId w:val="22"/>
  </w:num>
  <w:num w:numId="12">
    <w:abstractNumId w:val="24"/>
  </w:num>
  <w:num w:numId="13">
    <w:abstractNumId w:val="26"/>
  </w:num>
  <w:num w:numId="14">
    <w:abstractNumId w:val="7"/>
  </w:num>
  <w:num w:numId="15">
    <w:abstractNumId w:val="14"/>
  </w:num>
  <w:num w:numId="16">
    <w:abstractNumId w:val="27"/>
  </w:num>
  <w:num w:numId="17">
    <w:abstractNumId w:val="25"/>
  </w:num>
  <w:num w:numId="18">
    <w:abstractNumId w:val="23"/>
  </w:num>
  <w:num w:numId="19">
    <w:abstractNumId w:val="18"/>
  </w:num>
  <w:num w:numId="20">
    <w:abstractNumId w:val="15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 w:numId="25">
    <w:abstractNumId w:val="28"/>
  </w:num>
  <w:num w:numId="26">
    <w:abstractNumId w:val="20"/>
  </w:num>
  <w:num w:numId="27">
    <w:abstractNumId w:val="17"/>
  </w:num>
  <w:num w:numId="28">
    <w:abstractNumId w:val="13"/>
  </w:num>
  <w:num w:numId="29">
    <w:abstractNumId w:val="25"/>
  </w:num>
  <w:num w:numId="30">
    <w:abstractNumId w:val="25"/>
  </w:num>
  <w:num w:numId="31">
    <w:abstractNumId w:val="12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5"/>
  </w:num>
  <w:num w:numId="35">
    <w:abstractNumId w:val="25"/>
  </w:num>
  <w:num w:numId="36">
    <w:abstractNumId w:val="25"/>
  </w:num>
  <w:num w:numId="37">
    <w:abstractNumId w:val="12"/>
  </w:num>
  <w:num w:numId="38">
    <w:abstractNumId w:val="25"/>
  </w:num>
  <w:num w:numId="39">
    <w:abstractNumId w:val="25"/>
  </w:num>
  <w:num w:numId="40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E2"/>
    <w:rsid w:val="00003360"/>
    <w:rsid w:val="00003FC7"/>
    <w:rsid w:val="00005919"/>
    <w:rsid w:val="00007C42"/>
    <w:rsid w:val="00015020"/>
    <w:rsid w:val="00015089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11152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87C5E"/>
    <w:rsid w:val="001910C1"/>
    <w:rsid w:val="001A5BE3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522B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2F2131"/>
    <w:rsid w:val="0030084C"/>
    <w:rsid w:val="003039E1"/>
    <w:rsid w:val="003129BA"/>
    <w:rsid w:val="00312C77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0946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6859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C0C0E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6510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B728B"/>
    <w:rsid w:val="006C195E"/>
    <w:rsid w:val="006D638F"/>
    <w:rsid w:val="006D7384"/>
    <w:rsid w:val="006E7BF7"/>
    <w:rsid w:val="00702F2C"/>
    <w:rsid w:val="007068C8"/>
    <w:rsid w:val="00715B8F"/>
    <w:rsid w:val="0073106E"/>
    <w:rsid w:val="00741290"/>
    <w:rsid w:val="00742A90"/>
    <w:rsid w:val="00755142"/>
    <w:rsid w:val="00756BB7"/>
    <w:rsid w:val="0075764B"/>
    <w:rsid w:val="00760C01"/>
    <w:rsid w:val="00761293"/>
    <w:rsid w:val="00767C04"/>
    <w:rsid w:val="007736A2"/>
    <w:rsid w:val="00780AD1"/>
    <w:rsid w:val="007A06B4"/>
    <w:rsid w:val="007A6226"/>
    <w:rsid w:val="007B3C61"/>
    <w:rsid w:val="007D1918"/>
    <w:rsid w:val="007F0032"/>
    <w:rsid w:val="007F03F2"/>
    <w:rsid w:val="008031DF"/>
    <w:rsid w:val="008065D7"/>
    <w:rsid w:val="008111A3"/>
    <w:rsid w:val="00816E30"/>
    <w:rsid w:val="0082264B"/>
    <w:rsid w:val="0082765B"/>
    <w:rsid w:val="00832D9E"/>
    <w:rsid w:val="008352B1"/>
    <w:rsid w:val="008353E7"/>
    <w:rsid w:val="008357E2"/>
    <w:rsid w:val="00835BD7"/>
    <w:rsid w:val="00842827"/>
    <w:rsid w:val="008428E8"/>
    <w:rsid w:val="00843D71"/>
    <w:rsid w:val="00846F11"/>
    <w:rsid w:val="0084745A"/>
    <w:rsid w:val="008504D0"/>
    <w:rsid w:val="00860026"/>
    <w:rsid w:val="00870045"/>
    <w:rsid w:val="00876E5F"/>
    <w:rsid w:val="00884A12"/>
    <w:rsid w:val="00890CE4"/>
    <w:rsid w:val="00891ED7"/>
    <w:rsid w:val="008B7B54"/>
    <w:rsid w:val="008C3187"/>
    <w:rsid w:val="008C5E4F"/>
    <w:rsid w:val="008D5BC5"/>
    <w:rsid w:val="008D63B7"/>
    <w:rsid w:val="008D6A03"/>
    <w:rsid w:val="008D6CA7"/>
    <w:rsid w:val="008E508C"/>
    <w:rsid w:val="008E7FEE"/>
    <w:rsid w:val="008F2F06"/>
    <w:rsid w:val="008F31F5"/>
    <w:rsid w:val="008F4209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B45D2"/>
    <w:rsid w:val="00CD502A"/>
    <w:rsid w:val="00CF12CF"/>
    <w:rsid w:val="00CF4BE3"/>
    <w:rsid w:val="00D060D2"/>
    <w:rsid w:val="00D12193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4CC5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5DD3"/>
    <w:rsid w:val="00E86D2A"/>
    <w:rsid w:val="00E8711A"/>
    <w:rsid w:val="00EA2ED4"/>
    <w:rsid w:val="00EA491A"/>
    <w:rsid w:val="00EB1583"/>
    <w:rsid w:val="00EB54A9"/>
    <w:rsid w:val="00EC03F7"/>
    <w:rsid w:val="00EC23FB"/>
    <w:rsid w:val="00EC6F9E"/>
    <w:rsid w:val="00EC7017"/>
    <w:rsid w:val="00ED4356"/>
    <w:rsid w:val="00ED7681"/>
    <w:rsid w:val="00EE243C"/>
    <w:rsid w:val="00EE6B3E"/>
    <w:rsid w:val="00EF63C6"/>
    <w:rsid w:val="00F034FB"/>
    <w:rsid w:val="00F03743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3149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240A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aliases w:val="Bullet 1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aliases w:val="Bullet 1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A8F7DCFE2E8489108F1D9D32EB954" ma:contentTypeVersion="0" ma:contentTypeDescription="Create a new document." ma:contentTypeScope="" ma:versionID="3780f8447afe325ddd7f0d7d191590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807E-DAE0-4F73-A413-07B478C628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EC6B86-532F-4A9F-A804-2C1D2D6F7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213E7-AD5A-4064-B978-7F003CC6A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2D23E2-EAFC-4953-B27D-8F281E6D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PPP Assurance Report Quality Review Checklist </vt:lpstr>
    </vt:vector>
  </TitlesOfParts>
  <Company>NZ Government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PPP Assurance Report Quality Review Checklist</dc:title>
  <dc:creator>Claire Linskill</dc:creator>
  <cp:lastModifiedBy>Kelly Symmons</cp:lastModifiedBy>
  <cp:revision>2</cp:revision>
  <cp:lastPrinted>2018-08-08T04:47:00Z</cp:lastPrinted>
  <dcterms:created xsi:type="dcterms:W3CDTF">2018-08-16T04:29:00Z</dcterms:created>
  <dcterms:modified xsi:type="dcterms:W3CDTF">2018-08-16T04:29:00Z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0x010100579A8F7DCFE2E8489108F1D9D32EB954</vt:lpwstr>
  </property>
  <property fmtid="{D5CDD505-2E9C-101B-9397-08002B2CF9AE}" pid="3" name="ncc9d04dce814765bf3dd7c3f44c6226">
    <vt:lpwstr>Correspondence|dcd6b05f-dc80-4336-b228-09aebf3d212c</vt:lpwstr>
  </property>
  <property fmtid="{D5CDD505-2E9C-101B-9397-08002B2CF9AE}" pid="4" name="_dlc_DocIdItemGuid">
    <vt:lpwstr>e138fa28-136d-43ed-828a-dcd59dac8d30</vt:lpwstr>
  </property>
  <property fmtid="{D5CDD505-2E9C-101B-9397-08002B2CF9AE}" pid="5" name="DIAPolicyorProcedureType">
    <vt:lpwstr/>
  </property>
  <property fmtid="{D5CDD505-2E9C-101B-9397-08002B2CF9AE}" pid="6" name="TaxKeyword">
    <vt:lpwstr/>
  </property>
  <property fmtid="{D5CDD505-2E9C-101B-9397-08002B2CF9AE}" pid="7" name="DIAPublicationType">
    <vt:lpwstr/>
  </property>
  <property fmtid="{D5CDD505-2E9C-101B-9397-08002B2CF9AE}" pid="8" name="o989dca3f8824a58a3aa0ed2c8cb88da">
    <vt:lpwstr/>
  </property>
  <property fmtid="{D5CDD505-2E9C-101B-9397-08002B2CF9AE}" pid="9" name="e14111ef203c430d8ee3d13a72224eca">
    <vt:lpwstr/>
  </property>
  <property fmtid="{D5CDD505-2E9C-101B-9397-08002B2CF9AE}" pid="10" name="DIAPlanningDocumentType">
    <vt:lpwstr/>
  </property>
  <property fmtid="{D5CDD505-2E9C-101B-9397-08002B2CF9AE}" pid="11" name="C3Topic">
    <vt:lpwstr>1235;#Frameworks Refresh|82a04ad9-c19e-4c59-b228-781e609c4634</vt:lpwstr>
  </property>
  <property fmtid="{D5CDD505-2E9C-101B-9397-08002B2CF9AE}" pid="12" name="ga013ac1af39454fb98419a80b401e0c">
    <vt:lpwstr/>
  </property>
  <property fmtid="{D5CDD505-2E9C-101B-9397-08002B2CF9AE}" pid="13" name="DIASecurityClassification">
    <vt:lpwstr>2;#UNCLASSIFIED|875d92a8-67e2-4a32-9472-8fe99549e1eb</vt:lpwstr>
  </property>
  <property fmtid="{D5CDD505-2E9C-101B-9397-08002B2CF9AE}" pid="14" name="DIAEmailContentType">
    <vt:lpwstr>3;#Correspondence|dcd6b05f-dc80-4336-b228-09aebf3d212c</vt:lpwstr>
  </property>
  <property fmtid="{D5CDD505-2E9C-101B-9397-08002B2CF9AE}" pid="15" name="DIAMeetingDocumentType">
    <vt:lpwstr/>
  </property>
  <property fmtid="{D5CDD505-2E9C-101B-9397-08002B2CF9AE}" pid="16" name="g956127f45c94366abe68c8e13c429f4">
    <vt:lpwstr/>
  </property>
</Properties>
</file>